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8569" w14:textId="3768B2FE" w:rsidR="00357883" w:rsidRPr="00357883" w:rsidRDefault="00357883" w:rsidP="00357883">
      <w:pPr>
        <w:jc w:val="center"/>
        <w:rPr>
          <w:rFonts w:ascii="Arial" w:hAnsi="Arial" w:cs="Arial"/>
          <w:b/>
          <w:bCs/>
          <w:i/>
          <w:iCs/>
        </w:rPr>
      </w:pPr>
      <w:r w:rsidRPr="00357883">
        <w:rPr>
          <w:rFonts w:ascii="Arial" w:hAnsi="Arial" w:cs="Arial"/>
          <w:b/>
          <w:bCs/>
        </w:rPr>
        <w:t xml:space="preserve">Atividade antibacteriana do óleo de copaíba contra células </w:t>
      </w:r>
      <w:r w:rsidR="007256B7" w:rsidRPr="00357883">
        <w:rPr>
          <w:rFonts w:ascii="Arial" w:hAnsi="Arial" w:cs="Arial"/>
          <w:b/>
          <w:bCs/>
        </w:rPr>
        <w:t>plan</w:t>
      </w:r>
      <w:r w:rsidR="007256B7">
        <w:rPr>
          <w:rFonts w:ascii="Arial" w:hAnsi="Arial" w:cs="Arial"/>
          <w:b/>
          <w:bCs/>
        </w:rPr>
        <w:t>c</w:t>
      </w:r>
      <w:r w:rsidR="007256B7" w:rsidRPr="00357883">
        <w:rPr>
          <w:rFonts w:ascii="Arial" w:hAnsi="Arial" w:cs="Arial"/>
          <w:b/>
          <w:bCs/>
        </w:rPr>
        <w:t>tônicas</w:t>
      </w:r>
      <w:r w:rsidRPr="00357883">
        <w:rPr>
          <w:rFonts w:ascii="Arial" w:hAnsi="Arial" w:cs="Arial"/>
          <w:b/>
          <w:bCs/>
        </w:rPr>
        <w:t xml:space="preserve"> e biofilme de </w:t>
      </w:r>
      <w:r w:rsidRPr="00357883">
        <w:rPr>
          <w:rFonts w:ascii="Arial" w:hAnsi="Arial" w:cs="Arial"/>
          <w:b/>
          <w:bCs/>
          <w:i/>
          <w:iCs/>
        </w:rPr>
        <w:t xml:space="preserve">Streptococcus </w:t>
      </w:r>
      <w:proofErr w:type="spellStart"/>
      <w:r w:rsidRPr="00357883">
        <w:rPr>
          <w:rFonts w:ascii="Arial" w:hAnsi="Arial" w:cs="Arial"/>
          <w:b/>
          <w:bCs/>
          <w:i/>
          <w:iCs/>
        </w:rPr>
        <w:t>agalactiae</w:t>
      </w:r>
      <w:proofErr w:type="spellEnd"/>
    </w:p>
    <w:p w14:paraId="6CA3F1F8" w14:textId="2BCA1265" w:rsidR="008F3300" w:rsidRPr="00357883" w:rsidRDefault="008F3300" w:rsidP="008F3300">
      <w:pPr>
        <w:jc w:val="both"/>
        <w:rPr>
          <w:rFonts w:ascii="Arial" w:hAnsi="Arial" w:cs="Arial"/>
        </w:rPr>
      </w:pPr>
      <w:r w:rsidRPr="00357883">
        <w:rPr>
          <w:rFonts w:ascii="Arial" w:hAnsi="Arial" w:cs="Arial"/>
          <w:b/>
          <w:bCs/>
          <w:u w:val="single"/>
        </w:rPr>
        <w:t>Ana Elisa Belotto Morguette</w:t>
      </w: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>; Renata Lima Varella</w:t>
      </w: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>; Renata Perugini Biasi-Garbin</w:t>
      </w: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 xml:space="preserve">; Eliane </w:t>
      </w:r>
      <w:proofErr w:type="spellStart"/>
      <w:r w:rsidRPr="00357883">
        <w:rPr>
          <w:rFonts w:ascii="Arial" w:hAnsi="Arial" w:cs="Arial"/>
        </w:rPr>
        <w:t>Saori</w:t>
      </w:r>
      <w:proofErr w:type="spellEnd"/>
      <w:r w:rsidRPr="00357883">
        <w:rPr>
          <w:rFonts w:ascii="Arial" w:hAnsi="Arial" w:cs="Arial"/>
        </w:rPr>
        <w:t xml:space="preserve"> Otaguiri</w:t>
      </w: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 xml:space="preserve">; Lucy </w:t>
      </w:r>
      <w:proofErr w:type="spellStart"/>
      <w:r w:rsidRPr="00357883">
        <w:rPr>
          <w:rFonts w:ascii="Arial" w:hAnsi="Arial" w:cs="Arial"/>
        </w:rPr>
        <w:t>Megumi</w:t>
      </w:r>
      <w:proofErr w:type="spellEnd"/>
      <w:r w:rsidRPr="00357883">
        <w:rPr>
          <w:rFonts w:ascii="Arial" w:hAnsi="Arial" w:cs="Arial"/>
        </w:rPr>
        <w:t xml:space="preserve"> Yamauchi</w:t>
      </w: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 xml:space="preserve">; Sueli </w:t>
      </w:r>
      <w:proofErr w:type="spellStart"/>
      <w:r w:rsidRPr="00357883">
        <w:rPr>
          <w:rFonts w:ascii="Arial" w:hAnsi="Arial" w:cs="Arial"/>
        </w:rPr>
        <w:t>Fumie</w:t>
      </w:r>
      <w:proofErr w:type="spellEnd"/>
      <w:r w:rsidRPr="00357883">
        <w:rPr>
          <w:rFonts w:ascii="Arial" w:hAnsi="Arial" w:cs="Arial"/>
        </w:rPr>
        <w:t xml:space="preserve"> Yamada-Ogatta</w:t>
      </w:r>
      <w:r w:rsidRPr="00357883">
        <w:rPr>
          <w:rFonts w:ascii="Arial" w:hAnsi="Arial" w:cs="Arial"/>
          <w:vertAlign w:val="superscript"/>
        </w:rPr>
        <w:t>1</w:t>
      </w:r>
    </w:p>
    <w:p w14:paraId="1371ED84" w14:textId="12977599" w:rsidR="008F3300" w:rsidRPr="00357883" w:rsidRDefault="008F3300" w:rsidP="008F3300">
      <w:pPr>
        <w:jc w:val="both"/>
        <w:rPr>
          <w:rFonts w:ascii="Arial" w:hAnsi="Arial" w:cs="Arial"/>
        </w:rPr>
      </w:pPr>
      <w:r w:rsidRPr="00357883">
        <w:rPr>
          <w:rFonts w:ascii="Arial" w:hAnsi="Arial" w:cs="Arial"/>
          <w:vertAlign w:val="superscript"/>
        </w:rPr>
        <w:t>1</w:t>
      </w:r>
      <w:r w:rsidRPr="00357883">
        <w:rPr>
          <w:rFonts w:ascii="Arial" w:hAnsi="Arial" w:cs="Arial"/>
        </w:rPr>
        <w:t>Departamento de Microbiologia, Universidade Estadual de Londrina</w:t>
      </w:r>
    </w:p>
    <w:p w14:paraId="23F09799" w14:textId="67E4E718" w:rsidR="008F3300" w:rsidRPr="00357883" w:rsidRDefault="00BC54BE" w:rsidP="008F3300">
      <w:pPr>
        <w:rPr>
          <w:rFonts w:ascii="Arial" w:hAnsi="Arial" w:cs="Arial"/>
        </w:rPr>
      </w:pPr>
      <w:r w:rsidRPr="00BC54BE">
        <w:rPr>
          <w:rFonts w:ascii="Arial" w:hAnsi="Arial" w:cs="Arial"/>
          <w:b/>
          <w:bCs/>
        </w:rPr>
        <w:t>E-mail</w:t>
      </w:r>
      <w:r w:rsidR="008F3300" w:rsidRPr="00357883">
        <w:rPr>
          <w:rFonts w:ascii="Arial" w:hAnsi="Arial" w:cs="Arial"/>
        </w:rPr>
        <w:t xml:space="preserve">: </w:t>
      </w:r>
      <w:hyperlink r:id="rId8" w:history="1">
        <w:r w:rsidR="008F3300" w:rsidRPr="00357883">
          <w:rPr>
            <w:rStyle w:val="Hyperlink"/>
            <w:rFonts w:ascii="Arial" w:hAnsi="Arial" w:cs="Arial"/>
          </w:rPr>
          <w:t>morguette@uel.br</w:t>
        </w:r>
      </w:hyperlink>
    </w:p>
    <w:p w14:paraId="52D39775" w14:textId="77777777" w:rsidR="00357883" w:rsidRPr="00357883" w:rsidRDefault="00357883" w:rsidP="00357883">
      <w:pPr>
        <w:rPr>
          <w:rFonts w:ascii="Arial" w:hAnsi="Arial" w:cs="Arial"/>
        </w:rPr>
      </w:pPr>
      <w:r w:rsidRPr="00357883">
        <w:rPr>
          <w:rFonts w:ascii="Arial" w:hAnsi="Arial" w:cs="Arial"/>
          <w:b/>
          <w:bCs/>
        </w:rPr>
        <w:t xml:space="preserve">Áreas de conhecimento: </w:t>
      </w:r>
    </w:p>
    <w:p w14:paraId="5C61197B" w14:textId="17665784" w:rsidR="008F3300" w:rsidRPr="00357883" w:rsidRDefault="00357883" w:rsidP="00357883">
      <w:pPr>
        <w:jc w:val="both"/>
        <w:rPr>
          <w:rFonts w:ascii="Arial" w:hAnsi="Arial" w:cs="Arial"/>
          <w:sz w:val="20"/>
          <w:szCs w:val="20"/>
        </w:rPr>
      </w:pPr>
      <w:r w:rsidRPr="00357883">
        <w:rPr>
          <w:rFonts w:ascii="Arial" w:hAnsi="Arial" w:cs="Arial"/>
        </w:rPr>
        <w:t xml:space="preserve">O </w:t>
      </w:r>
      <w:r w:rsidRPr="00357883">
        <w:rPr>
          <w:rFonts w:ascii="Arial" w:hAnsi="Arial" w:cs="Arial"/>
          <w:i/>
          <w:iCs/>
        </w:rPr>
        <w:t xml:space="preserve">Streptococcus </w:t>
      </w:r>
      <w:proofErr w:type="spellStart"/>
      <w:r w:rsidRPr="00357883">
        <w:rPr>
          <w:rFonts w:ascii="Arial" w:hAnsi="Arial" w:cs="Arial"/>
          <w:i/>
          <w:iCs/>
        </w:rPr>
        <w:t>agalactiae</w:t>
      </w:r>
      <w:proofErr w:type="spellEnd"/>
      <w:r w:rsidRPr="00357883">
        <w:rPr>
          <w:rFonts w:ascii="Arial" w:hAnsi="Arial" w:cs="Arial"/>
        </w:rPr>
        <w:t xml:space="preserve"> (estreptococo do grupo B – GBS) pode estar presente na microbiota do trato gastrointestinal e genital humano. A colonização da mucosa vaginal de mulheres grávidas é um fator de risco importante para o desenvolvimento de infecções neonatais por GBS. A implantação da profilaxia antibiótica intraparto (PAI) para mulheres colonizadas contribuiu para a redução dessas infecções. No entanto, houve um aumento de isolados exibindo resistência aos antimicrobianos usados na PAI. Há uma necessidade crescente de descobrir novos antimicrobianos, e os produtos naturais são uma rica fonte de moléculas desconhecidas. Portanto, o objetivo deste estudo foi avaliar a atividade do óleo de copaíba contra células planctônicas e </w:t>
      </w:r>
      <w:proofErr w:type="spellStart"/>
      <w:r w:rsidRPr="00357883">
        <w:rPr>
          <w:rFonts w:ascii="Arial" w:hAnsi="Arial" w:cs="Arial"/>
        </w:rPr>
        <w:t>sessis</w:t>
      </w:r>
      <w:proofErr w:type="spellEnd"/>
      <w:r w:rsidRPr="00357883">
        <w:rPr>
          <w:rFonts w:ascii="Arial" w:hAnsi="Arial" w:cs="Arial"/>
        </w:rPr>
        <w:t xml:space="preserve"> de GBS. A cepa de referência </w:t>
      </w:r>
      <w:r w:rsidRPr="00357883">
        <w:rPr>
          <w:rFonts w:ascii="Arial" w:hAnsi="Arial" w:cs="Arial"/>
          <w:i/>
          <w:iCs/>
        </w:rPr>
        <w:t xml:space="preserve">S. </w:t>
      </w:r>
      <w:proofErr w:type="spellStart"/>
      <w:r w:rsidRPr="00357883">
        <w:rPr>
          <w:rFonts w:ascii="Arial" w:hAnsi="Arial" w:cs="Arial"/>
          <w:i/>
          <w:iCs/>
        </w:rPr>
        <w:t>agalactiae</w:t>
      </w:r>
      <w:proofErr w:type="spellEnd"/>
      <w:r w:rsidRPr="00357883">
        <w:rPr>
          <w:rFonts w:ascii="Arial" w:hAnsi="Arial" w:cs="Arial"/>
          <w:i/>
          <w:iCs/>
        </w:rPr>
        <w:t xml:space="preserve"> </w:t>
      </w:r>
      <w:r w:rsidRPr="00357883">
        <w:rPr>
          <w:rFonts w:ascii="Arial" w:hAnsi="Arial" w:cs="Arial"/>
        </w:rPr>
        <w:t xml:space="preserve">ATCC 13813 e nove cepas de GBS da coleção bacteriana do Laboratório de Microbiologia Clínica da Universidade Estadual de Londrina (UEL) foram utilizadas neste estudo. O </w:t>
      </w:r>
      <w:proofErr w:type="spellStart"/>
      <w:r w:rsidRPr="00357883">
        <w:rPr>
          <w:rFonts w:ascii="Arial" w:hAnsi="Arial" w:cs="Arial"/>
        </w:rPr>
        <w:t>oleorresina</w:t>
      </w:r>
      <w:proofErr w:type="spellEnd"/>
      <w:r w:rsidRPr="00357883">
        <w:rPr>
          <w:rFonts w:ascii="Arial" w:hAnsi="Arial" w:cs="Arial"/>
        </w:rPr>
        <w:t xml:space="preserve"> de </w:t>
      </w:r>
      <w:proofErr w:type="spellStart"/>
      <w:r w:rsidRPr="00357883">
        <w:rPr>
          <w:rFonts w:ascii="Arial" w:hAnsi="Arial" w:cs="Arial"/>
          <w:i/>
          <w:iCs/>
        </w:rPr>
        <w:t>Copaifera</w:t>
      </w:r>
      <w:proofErr w:type="spellEnd"/>
      <w:r w:rsidRPr="00357883">
        <w:rPr>
          <w:rFonts w:ascii="Arial" w:hAnsi="Arial" w:cs="Arial"/>
          <w:i/>
          <w:iCs/>
        </w:rPr>
        <w:t xml:space="preserve"> </w:t>
      </w:r>
      <w:proofErr w:type="spellStart"/>
      <w:r w:rsidRPr="00357883">
        <w:rPr>
          <w:rFonts w:ascii="Arial" w:hAnsi="Arial" w:cs="Arial"/>
          <w:i/>
          <w:iCs/>
        </w:rPr>
        <w:t>officinalis</w:t>
      </w:r>
      <w:proofErr w:type="spellEnd"/>
      <w:r w:rsidRPr="00357883">
        <w:rPr>
          <w:rFonts w:ascii="Arial" w:hAnsi="Arial" w:cs="Arial"/>
        </w:rPr>
        <w:t xml:space="preserve"> foi obtido da Indústria e Comércio de Óleos Essenciais </w:t>
      </w:r>
      <w:proofErr w:type="spellStart"/>
      <w:r w:rsidRPr="00357883">
        <w:rPr>
          <w:rFonts w:ascii="Arial" w:hAnsi="Arial" w:cs="Arial"/>
        </w:rPr>
        <w:t>Ferquima</w:t>
      </w:r>
      <w:proofErr w:type="spellEnd"/>
      <w:r w:rsidRPr="00357883">
        <w:rPr>
          <w:rFonts w:ascii="Arial" w:hAnsi="Arial" w:cs="Arial"/>
        </w:rPr>
        <w:t xml:space="preserve"> (São Paulo, Brasil). A atividade do óleo de copaíba sobre o crescimento de células planctônicas de GBS foi avaliada por ensaio de </w:t>
      </w:r>
      <w:proofErr w:type="spellStart"/>
      <w:r w:rsidRPr="00357883">
        <w:rPr>
          <w:rFonts w:ascii="Arial" w:hAnsi="Arial" w:cs="Arial"/>
        </w:rPr>
        <w:t>microdiluição</w:t>
      </w:r>
      <w:proofErr w:type="spellEnd"/>
      <w:r w:rsidRPr="00357883">
        <w:rPr>
          <w:rFonts w:ascii="Arial" w:hAnsi="Arial" w:cs="Arial"/>
        </w:rPr>
        <w:t xml:space="preserve"> em caldo, e as concentrações mínimas inibitórias (MIC) e bactericidas (MBC) foram determinadas. O biofilme de GBS estabelecido por 24 horas foi tratado com diferentes concentrações de óleo de copaíba (1,0 – 0,03 mg/</w:t>
      </w:r>
      <w:proofErr w:type="spellStart"/>
      <w:r w:rsidRPr="00357883">
        <w:rPr>
          <w:rFonts w:ascii="Arial" w:hAnsi="Arial" w:cs="Arial"/>
        </w:rPr>
        <w:t>mL</w:t>
      </w:r>
      <w:proofErr w:type="spellEnd"/>
      <w:r w:rsidRPr="00357883">
        <w:rPr>
          <w:rFonts w:ascii="Arial" w:hAnsi="Arial" w:cs="Arial"/>
        </w:rPr>
        <w:t xml:space="preserve">), e a atividade metabólica das células </w:t>
      </w:r>
      <w:proofErr w:type="spellStart"/>
      <w:r w:rsidRPr="00357883">
        <w:rPr>
          <w:rFonts w:ascii="Arial" w:hAnsi="Arial" w:cs="Arial"/>
        </w:rPr>
        <w:t>sessis</w:t>
      </w:r>
      <w:proofErr w:type="spellEnd"/>
      <w:r w:rsidRPr="00357883">
        <w:rPr>
          <w:rFonts w:ascii="Arial" w:hAnsi="Arial" w:cs="Arial"/>
        </w:rPr>
        <w:t xml:space="preserve"> foi quantificada por ensaio de redução de XTT após 24 horas de tratamento. O óleo de copaíba demonstrou atividade antimicrobiana contra todas as cepas de GBS. Os valores de MIC e MBC foram 0,03 e 0,06 mg/</w:t>
      </w:r>
      <w:proofErr w:type="spellStart"/>
      <w:r w:rsidRPr="00357883">
        <w:rPr>
          <w:rFonts w:ascii="Arial" w:hAnsi="Arial" w:cs="Arial"/>
        </w:rPr>
        <w:t>mL</w:t>
      </w:r>
      <w:proofErr w:type="spellEnd"/>
      <w:r w:rsidRPr="00357883">
        <w:rPr>
          <w:rFonts w:ascii="Arial" w:hAnsi="Arial" w:cs="Arial"/>
        </w:rPr>
        <w:t>, e 0,06 e 0,12 mg/</w:t>
      </w:r>
      <w:proofErr w:type="spellStart"/>
      <w:r w:rsidRPr="00357883">
        <w:rPr>
          <w:rFonts w:ascii="Arial" w:hAnsi="Arial" w:cs="Arial"/>
        </w:rPr>
        <w:t>mL</w:t>
      </w:r>
      <w:proofErr w:type="spellEnd"/>
      <w:r w:rsidRPr="00357883">
        <w:rPr>
          <w:rFonts w:ascii="Arial" w:hAnsi="Arial" w:cs="Arial"/>
        </w:rPr>
        <w:t xml:space="preserve">, respectivamente. Após o tratamento com óleo de copaíba, a atividade metabólica dos biofilmes de GBS foi significativamente (P&lt;0,001) diminuída para a maioria das cepas de GBS, exceto para uma cepa de GBS cujo biofilme não foi inibido em nenhuma concentração de óleo de copaíba testada. A redução da atividade metabólica variou de 72,79% a 98,61% para cepas suscetíveis e de 77,87% a 96,14% para cepas resistentes. Os resultados mostraram que o óleo de copaíba tem atividade antimicrobiana contra GBS e pode ser uma fonte de novas moléculas ou utilizado em formulações médicas no controle de infecções causadas por GBS. Este estudo avaliou pela primeira vez o efeito de uma </w:t>
      </w:r>
      <w:proofErr w:type="spellStart"/>
      <w:r w:rsidRPr="00357883">
        <w:rPr>
          <w:rFonts w:ascii="Arial" w:hAnsi="Arial" w:cs="Arial"/>
        </w:rPr>
        <w:t>oleorresina</w:t>
      </w:r>
      <w:proofErr w:type="spellEnd"/>
      <w:r w:rsidRPr="00357883">
        <w:rPr>
          <w:rFonts w:ascii="Arial" w:hAnsi="Arial" w:cs="Arial"/>
        </w:rPr>
        <w:t xml:space="preserve"> coletada de </w:t>
      </w:r>
      <w:r w:rsidRPr="00357883">
        <w:rPr>
          <w:rFonts w:ascii="Arial" w:hAnsi="Arial" w:cs="Arial"/>
          <w:i/>
          <w:iCs/>
        </w:rPr>
        <w:t xml:space="preserve">C. </w:t>
      </w:r>
      <w:proofErr w:type="spellStart"/>
      <w:r w:rsidRPr="00357883">
        <w:rPr>
          <w:rFonts w:ascii="Arial" w:hAnsi="Arial" w:cs="Arial"/>
          <w:i/>
          <w:iCs/>
        </w:rPr>
        <w:t>officinalis</w:t>
      </w:r>
      <w:proofErr w:type="spellEnd"/>
      <w:r w:rsidRPr="00357883">
        <w:rPr>
          <w:rFonts w:ascii="Arial" w:hAnsi="Arial" w:cs="Arial"/>
        </w:rPr>
        <w:t xml:space="preserve"> contra células planctônicas e </w:t>
      </w:r>
      <w:r w:rsidR="009B3244">
        <w:rPr>
          <w:rFonts w:ascii="Arial" w:hAnsi="Arial" w:cs="Arial"/>
        </w:rPr>
        <w:t>biofilme</w:t>
      </w:r>
      <w:r w:rsidRPr="00357883">
        <w:rPr>
          <w:rFonts w:ascii="Arial" w:hAnsi="Arial" w:cs="Arial"/>
        </w:rPr>
        <w:t xml:space="preserve"> de GBS isoladas de mulheres colonizadas</w:t>
      </w:r>
      <w:r w:rsidRPr="00357883">
        <w:rPr>
          <w:rFonts w:ascii="Arial" w:hAnsi="Arial" w:cs="Arial"/>
          <w:i/>
          <w:iCs/>
        </w:rPr>
        <w:t>.</w:t>
      </w:r>
    </w:p>
    <w:p w14:paraId="1C2ECDB7" w14:textId="77777777" w:rsidR="00357883" w:rsidRPr="00357883" w:rsidRDefault="00357883" w:rsidP="008F3300">
      <w:pPr>
        <w:spacing w:after="0"/>
        <w:jc w:val="both"/>
        <w:rPr>
          <w:rFonts w:ascii="Arial" w:hAnsi="Arial" w:cs="Arial"/>
        </w:rPr>
      </w:pPr>
    </w:p>
    <w:p w14:paraId="3661C051" w14:textId="40C9B7FC" w:rsidR="008F3300" w:rsidRPr="00357883" w:rsidRDefault="00357883" w:rsidP="008F3300">
      <w:pPr>
        <w:rPr>
          <w:rFonts w:ascii="Arial" w:hAnsi="Arial" w:cs="Arial"/>
        </w:rPr>
      </w:pPr>
      <w:r w:rsidRPr="00357883">
        <w:rPr>
          <w:rFonts w:ascii="Arial" w:hAnsi="Arial" w:cs="Arial"/>
          <w:b/>
          <w:bCs/>
        </w:rPr>
        <w:t xml:space="preserve">Palavras-chave: </w:t>
      </w:r>
      <w:r w:rsidRPr="00357883">
        <w:rPr>
          <w:rFonts w:ascii="Arial" w:hAnsi="Arial" w:cs="Arial"/>
          <w:i/>
          <w:iCs/>
        </w:rPr>
        <w:t xml:space="preserve">Streptococcus </w:t>
      </w:r>
      <w:proofErr w:type="spellStart"/>
      <w:r w:rsidRPr="00357883">
        <w:rPr>
          <w:rFonts w:ascii="Arial" w:hAnsi="Arial" w:cs="Arial"/>
          <w:i/>
          <w:iCs/>
        </w:rPr>
        <w:t>agalactiae</w:t>
      </w:r>
      <w:proofErr w:type="spellEnd"/>
      <w:r w:rsidRPr="00357883">
        <w:rPr>
          <w:rFonts w:ascii="Arial" w:hAnsi="Arial" w:cs="Arial"/>
        </w:rPr>
        <w:t xml:space="preserve"> (estreptococo do grupo B), atividade antimicrobiana, produto natural</w:t>
      </w:r>
      <w:r w:rsidRPr="00357883">
        <w:rPr>
          <w:rFonts w:ascii="Arial" w:hAnsi="Arial" w:cs="Arial"/>
          <w:b/>
          <w:bCs/>
        </w:rPr>
        <w:br/>
        <w:t xml:space="preserve">Apoio financeiro ou bolsa: </w:t>
      </w:r>
      <w:r w:rsidRPr="00357883">
        <w:rPr>
          <w:rFonts w:ascii="Arial" w:hAnsi="Arial" w:cs="Arial"/>
        </w:rPr>
        <w:t>CNPq, CAPES, Fundação Araucária</w:t>
      </w:r>
    </w:p>
    <w:sectPr w:rsidR="008F3300" w:rsidRPr="0035788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931D" w14:textId="77777777" w:rsidR="00852CDE" w:rsidRDefault="00852CDE" w:rsidP="00DC3DFA">
      <w:pPr>
        <w:spacing w:after="0" w:line="240" w:lineRule="auto"/>
      </w:pPr>
      <w:r>
        <w:separator/>
      </w:r>
    </w:p>
  </w:endnote>
  <w:endnote w:type="continuationSeparator" w:id="0">
    <w:p w14:paraId="22A747F1" w14:textId="77777777" w:rsidR="00852CDE" w:rsidRDefault="00852CDE" w:rsidP="00DC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B2711" w14:textId="15CB02BB" w:rsidR="008F3300" w:rsidRDefault="008F3300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48A44" wp14:editId="236C6987">
          <wp:simplePos x="0" y="0"/>
          <wp:positionH relativeFrom="column">
            <wp:posOffset>-278765</wp:posOffset>
          </wp:positionH>
          <wp:positionV relativeFrom="paragraph">
            <wp:posOffset>-171120</wp:posOffset>
          </wp:positionV>
          <wp:extent cx="6082880" cy="709574"/>
          <wp:effectExtent l="0" t="0" r="0" b="0"/>
          <wp:wrapTight wrapText="bothSides">
            <wp:wrapPolygon edited="0">
              <wp:start x="609" y="1160"/>
              <wp:lineTo x="609" y="5221"/>
              <wp:lineTo x="2300" y="11603"/>
              <wp:lineTo x="3044" y="11603"/>
              <wp:lineTo x="3044" y="13923"/>
              <wp:lineTo x="3991" y="19144"/>
              <wp:lineTo x="4397" y="20304"/>
              <wp:lineTo x="16438" y="20304"/>
              <wp:lineTo x="17115" y="19144"/>
              <wp:lineTo x="18468" y="13923"/>
              <wp:lineTo x="18400" y="11603"/>
              <wp:lineTo x="20903" y="7542"/>
              <wp:lineTo x="20836" y="2321"/>
              <wp:lineTo x="17859" y="1160"/>
              <wp:lineTo x="609" y="1160"/>
            </wp:wrapPolygon>
          </wp:wrapTight>
          <wp:docPr id="60084064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40645" name="Imagem 600840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880" cy="709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D4F5B" w14:textId="77777777" w:rsidR="00852CDE" w:rsidRDefault="00852CDE" w:rsidP="00DC3DFA">
      <w:pPr>
        <w:spacing w:after="0" w:line="240" w:lineRule="auto"/>
      </w:pPr>
      <w:r>
        <w:separator/>
      </w:r>
    </w:p>
  </w:footnote>
  <w:footnote w:type="continuationSeparator" w:id="0">
    <w:p w14:paraId="340EF9E2" w14:textId="77777777" w:rsidR="00852CDE" w:rsidRDefault="00852CDE" w:rsidP="00DC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602B" w14:textId="285F4878" w:rsidR="00DC3DFA" w:rsidRPr="008F3300" w:rsidRDefault="008F3300" w:rsidP="008F33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BF770" wp14:editId="3282BB23">
          <wp:simplePos x="0" y="0"/>
          <wp:positionH relativeFrom="column">
            <wp:posOffset>-407746</wp:posOffset>
          </wp:positionH>
          <wp:positionV relativeFrom="paragraph">
            <wp:posOffset>-244577</wp:posOffset>
          </wp:positionV>
          <wp:extent cx="6242884" cy="1408760"/>
          <wp:effectExtent l="0" t="0" r="5715" b="1270"/>
          <wp:wrapTight wrapText="bothSides">
            <wp:wrapPolygon edited="0">
              <wp:start x="0" y="0"/>
              <wp:lineTo x="0" y="21327"/>
              <wp:lineTo x="21554" y="21327"/>
              <wp:lineTo x="21554" y="0"/>
              <wp:lineTo x="0" y="0"/>
            </wp:wrapPolygon>
          </wp:wrapTight>
          <wp:docPr id="1005241644" name="Imagem 6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241644" name="Imagem 6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884" cy="1408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650"/>
    <w:multiLevelType w:val="multilevel"/>
    <w:tmpl w:val="A89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E7E5E"/>
    <w:multiLevelType w:val="multilevel"/>
    <w:tmpl w:val="5E84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B1C32"/>
    <w:multiLevelType w:val="multilevel"/>
    <w:tmpl w:val="D9DA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A5440"/>
    <w:multiLevelType w:val="multilevel"/>
    <w:tmpl w:val="E224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0882"/>
    <w:multiLevelType w:val="hybridMultilevel"/>
    <w:tmpl w:val="0FFA3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1360B"/>
    <w:multiLevelType w:val="multilevel"/>
    <w:tmpl w:val="17C0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71159"/>
    <w:multiLevelType w:val="multilevel"/>
    <w:tmpl w:val="8A52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396770">
    <w:abstractNumId w:val="6"/>
  </w:num>
  <w:num w:numId="2" w16cid:durableId="2139106314">
    <w:abstractNumId w:val="0"/>
  </w:num>
  <w:num w:numId="3" w16cid:durableId="1015499252">
    <w:abstractNumId w:val="1"/>
  </w:num>
  <w:num w:numId="4" w16cid:durableId="2081636383">
    <w:abstractNumId w:val="3"/>
  </w:num>
  <w:num w:numId="5" w16cid:durableId="506333356">
    <w:abstractNumId w:val="2"/>
  </w:num>
  <w:num w:numId="6" w16cid:durableId="2082211047">
    <w:abstractNumId w:val="5"/>
  </w:num>
  <w:num w:numId="7" w16cid:durableId="712580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FA"/>
    <w:rsid w:val="000C611B"/>
    <w:rsid w:val="001C07B4"/>
    <w:rsid w:val="0033092C"/>
    <w:rsid w:val="00357883"/>
    <w:rsid w:val="003D08E6"/>
    <w:rsid w:val="00426E81"/>
    <w:rsid w:val="005957E6"/>
    <w:rsid w:val="005B35EC"/>
    <w:rsid w:val="006D6D4B"/>
    <w:rsid w:val="00717809"/>
    <w:rsid w:val="007256B7"/>
    <w:rsid w:val="00737CDF"/>
    <w:rsid w:val="00752BBE"/>
    <w:rsid w:val="00760BC6"/>
    <w:rsid w:val="00783C03"/>
    <w:rsid w:val="007A4128"/>
    <w:rsid w:val="007B7A4A"/>
    <w:rsid w:val="00852CDE"/>
    <w:rsid w:val="00864E08"/>
    <w:rsid w:val="008744A9"/>
    <w:rsid w:val="008D779C"/>
    <w:rsid w:val="008F3300"/>
    <w:rsid w:val="009B3244"/>
    <w:rsid w:val="00A23963"/>
    <w:rsid w:val="00A625B6"/>
    <w:rsid w:val="00AA2F7C"/>
    <w:rsid w:val="00AD6E95"/>
    <w:rsid w:val="00B10DDB"/>
    <w:rsid w:val="00BA1FFF"/>
    <w:rsid w:val="00BC54BE"/>
    <w:rsid w:val="00C03F00"/>
    <w:rsid w:val="00CD39B1"/>
    <w:rsid w:val="00DC3DFA"/>
    <w:rsid w:val="00DC4A0B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0577"/>
  <w15:chartTrackingRefBased/>
  <w15:docId w15:val="{C9A9C303-E9A1-418C-8E59-7E86BF4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C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D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DF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D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DF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D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D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3DF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DF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3DF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DF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DF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C3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DFA"/>
  </w:style>
  <w:style w:type="paragraph" w:styleId="Rodap">
    <w:name w:val="footer"/>
    <w:basedOn w:val="Normal"/>
    <w:link w:val="RodapChar"/>
    <w:uiPriority w:val="99"/>
    <w:unhideWhenUsed/>
    <w:rsid w:val="00DC3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DFA"/>
  </w:style>
  <w:style w:type="character" w:styleId="Hyperlink">
    <w:name w:val="Hyperlink"/>
    <w:basedOn w:val="Fontepargpadro"/>
    <w:uiPriority w:val="99"/>
    <w:unhideWhenUsed/>
    <w:rsid w:val="008F330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33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A2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uette@uel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2B18-71E0-44BA-8D97-856496A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Andr� Luiz Dyna</dc:creator>
  <cp:keywords/>
  <dc:description/>
  <cp:lastModifiedBy>Andr� Luiz Dyna</cp:lastModifiedBy>
  <cp:revision>8</cp:revision>
  <dcterms:created xsi:type="dcterms:W3CDTF">2024-11-11T11:43:00Z</dcterms:created>
  <dcterms:modified xsi:type="dcterms:W3CDTF">2025-02-25T12:54:00Z</dcterms:modified>
</cp:coreProperties>
</file>